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7.png" ContentType="image/png"/>
  <Override PartName="/word/media/rId36.png" ContentType="image/png"/>
  <Override PartName="/word/media/rId27.png" ContentType="image/png"/>
  <Override PartName="/word/media/rId38.png" ContentType="image/png"/>
  <Override PartName="/word/media/rId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rPr>
          <w:strike/>
        </w:rPr>
        <w:t xml:space="preserve">Effect of spring temperatures on tree growth phenology in two temperate deciduous forests</w:t>
      </w:r>
      <w:r>
        <w:t xml:space="preserve"> </w:t>
      </w:r>
      <w:r>
        <w:t xml:space="preserve">Warmer spring temperatures in temperate deciduous forests cause earlier tree growth but have little/only modest(?)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r>
        <w:t xml:space="preserve"> </w:t>
      </w:r>
      <w:r>
        <w:t xml:space="preserve">Loïc D’Orangeville</w:t>
      </w:r>
      <w:r>
        <w:t xml:space="preserve"> </w:t>
      </w:r>
      <w:r>
        <w:t xml:space="preserve">Erika B. Gonzalez-Akre</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r>
        <w:t xml:space="preserve">Valentine Herrmann</w:t>
      </w:r>
      <w:r>
        <w:rPr>
          <w:vertAlign w:val="superscript"/>
        </w:rPr>
        <w:t xml:space="preserve">1</w:t>
      </w:r>
      <w:r>
        <w:t xml:space="preserve">,</w:t>
      </w:r>
      <w:r>
        <w:t xml:space="preserve"> </w:t>
      </w:r>
      <w:r>
        <w:t xml:space="preserve">Ian McGregor</w:t>
      </w:r>
      <w:r>
        <w:rPr>
          <w:vertAlign w:val="superscript"/>
        </w:rPr>
        <w:t xml:space="preserve">1</w:t>
      </w:r>
      <w:r>
        <w:t xml:space="preserve">,</w:t>
      </w:r>
      <w:r>
        <w:t xml:space="preserve"> </w:t>
      </w:r>
      <w:r>
        <w:t xml:space="preserve">Sean McMahon,</w:t>
      </w:r>
      <w:r>
        <w:t xml:space="preserve"> </w:t>
      </w:r>
      <w:r>
        <w:t xml:space="preserve">Albert Kim</w:t>
      </w:r>
      <w:r>
        <w:rPr>
          <w:vertAlign w:val="superscript"/>
        </w:rPr>
        <w:t xml:space="preserve">1</w:t>
      </w:r>
      <w:r>
        <w:t xml:space="preserve">,</w:t>
      </w:r>
      <w:r>
        <w:t xml:space="preserve"> </w:t>
      </w:r>
      <w:r>
        <w:t xml:space="preserve">David A. Orwig</w:t>
      </w:r>
      <w:r>
        <w:t xml:space="preserve"> </w:t>
      </w:r>
      <w:r>
        <w:t xml:space="preserve">Kristina J. Anderson-Teixeira</w:t>
      </w:r>
      <w:r>
        <w:rPr>
          <w:vertAlign w:val="superscript"/>
        </w:rPr>
        <w:t xml:space="preserve">1,n</w:t>
      </w:r>
      <w:r>
        <w:t xml:space="preserve">*</w:t>
      </w:r>
    </w:p>
    <w:p>
      <w:pPr>
        <w:pStyle w:val="BodyText"/>
      </w:pPr>
      <w:r>
        <w:rPr>
          <w:b/>
        </w:rPr>
        <w:t xml:space="preserve">Author Affiliations:</w:t>
      </w:r>
    </w:p>
    <w:p>
      <w:pPr>
        <w:numPr>
          <w:ilvl w:val="0"/>
          <w:numId w:val="1001"/>
        </w:numPr>
        <w:pStyle w:val="Compact"/>
      </w:pPr>
      <w:r>
        <w:t xml:space="preserve">Conservation Ecology Center; Smithsonian Conservation Biology Institute; Front Royal, VA 22630, USA</w:t>
      </w:r>
    </w:p>
    <w:p>
      <w:pPr>
        <w:numPr>
          <w:ilvl w:val="0"/>
          <w:numId w:val="1002"/>
        </w:numPr>
        <w:pStyle w:val="Compact"/>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abstract"/>
    <w:p>
      <w:pPr>
        <w:pStyle w:val="Heading3"/>
      </w:pPr>
      <w:r>
        <w:t xml:space="preserve">Abstract</w:t>
      </w:r>
    </w:p>
    <w:p>
      <w:pPr>
        <w:pStyle w:val="FirstParagraph"/>
      </w:pPr>
      <w:r>
        <w:rPr>
          <w:b/>
        </w:rPr>
        <w:t xml:space="preserve">Keywords</w:t>
      </w:r>
      <w:r>
        <w:t xml:space="preserve">:</w:t>
      </w:r>
    </w:p>
    <w:p>
      <w:r>
        <w:br w:type="page"/>
      </w:r>
    </w:p>
    <w:bookmarkEnd w:id="21"/>
    <w:bookmarkStart w:id="29" w:name="introduction"/>
    <w:p>
      <w:pPr>
        <w:pStyle w:val="Heading3"/>
      </w:pPr>
      <w:r>
        <w:t xml:space="preserve">Introduction</w:t>
      </w:r>
    </w:p>
    <w:bookmarkStart w:id="22" w:name="X660eb9b5071899a1078d478a7b98063919019bb"/>
    <w:p>
      <w:pPr>
        <w:pStyle w:val="Heading4"/>
      </w:pPr>
      <w:r>
        <w:t xml:space="preserve">(1. 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w:t>
      </w:r>
      <w:r>
        <w:rPr>
          <w:b/>
        </w:rPr>
        <w:t xml:space="preserve">???</w:t>
      </w:r>
      <w:r>
        <w:t xml:space="preserve">)</w:t>
      </w:r>
      <w:r>
        <w:t xml:space="preserve">. However, their future under the current era of rapid change is uncertain</w:t>
      </w:r>
      <w:r>
        <w:t xml:space="preserve"> </w:t>
      </w:r>
      <w:r>
        <w:t xml:space="preserve">(</w:t>
      </w:r>
      <w:r>
        <w:rPr>
          <w:b/>
        </w:rPr>
        <w:t xml:space="preserve">???</w:t>
      </w:r>
      <w:r>
        <w:t xml:space="preserve">)</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2"/>
    <w:bookmarkStart w:id="23" w:name="Xe4a691bc37377ddcf1a219643891dd21faa35e9"/>
    <w:p>
      <w:pPr>
        <w:pStyle w:val="Heading4"/>
      </w:pPr>
      <w:r>
        <w:t xml:space="preserve">(2. 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phenology–as characterized by satellite observations of NDVI or EVI– is linked to the ecosystem CO</w:t>
      </w:r>
      <w:r>
        <w:rPr>
          <w:vertAlign w:val="subscript"/>
        </w:rPr>
        <w:t xml:space="preserve">2</w:t>
      </w:r>
      <w:r>
        <w:t xml:space="preserve"> </w:t>
      </w:r>
      <w:r>
        <w:t xml:space="preserve">uptake period. In turn, longer carbon uptake periods have been linked to greater net annual C sequestration (i.e., net ecosystem exchange, NEE) by ecosystems</w:t>
      </w:r>
      <w:r>
        <w:t xml:space="preserve"> </w:t>
      </w:r>
      <w:r>
        <w:t xml:space="preserve">(Churkina et al., 2005; Keenan et al., 2014)</w:t>
      </w:r>
      <w:r>
        <w:t xml:space="preserve">, although more of the interannual variation in forest NEE is explained by variation in maximum C uptake rates than by the length of the carbon uptake period</w:t>
      </w:r>
      <w:r>
        <w:t xml:space="preserve"> </w:t>
      </w:r>
      <w:r>
        <w:t xml:space="preserve">(Fu et al., 2019)</w:t>
      </w:r>
      <w:r>
        <w:t xml:space="preserve">.</w:t>
      </w:r>
    </w:p>
    <w:p>
      <w:pPr>
        <w:pStyle w:val="BodyText"/>
      </w:pPr>
      <w:r>
        <w:t xml:space="preserve">Many observations of climate induced phenological shifts are based on GIS (), eddy-covarience measurements (), or other broad scale measurements of phenological timing, and do little to discern differences between individual species, where leaf and stem-growth phenology can be decoupled (D’Orangeville et al, in review).</w:t>
      </w:r>
    </w:p>
    <w:bookmarkEnd w:id="23"/>
    <w:bookmarkStart w:id="24" w:name="X3392c3350558a55138fccfecaf342085b00d3ad"/>
    <w:p>
      <w:pPr>
        <w:pStyle w:val="Heading4"/>
      </w:pPr>
      <w:r>
        <w:t xml:space="preserve">(3. However, we don’t know how warming springs affect stem-growth, which matters because the C allocated to stem growth will be retained in the ecosystem for decades to millenia )</w:t>
      </w:r>
    </w:p>
    <w:p>
      <w:pPr>
        <w:pStyle w:val="FirstParagraph"/>
      </w:pPr>
      <w:r>
        <w:t xml:space="preserve">Earlier leaf up timings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but tree-rings tell us nothing about the timing of that growth. Timing of intraannual stem-growth is extremely important as well.</w:t>
      </w:r>
    </w:p>
    <w:bookmarkEnd w:id="24"/>
    <w:bookmarkStart w:id="25" w:name="Xa41eb0e22d6bf5c223bb3aff53cf0ee87481062"/>
    <w:p>
      <w:pPr>
        <w:pStyle w:val="Heading4"/>
      </w:pPr>
      <w:r>
        <w:t xml:space="preserve">(4. We also know little about differences across species or functional groups, which matters because it will affect how different species fare under climate change )</w:t>
      </w:r>
    </w:p>
    <w:p>
      <w:pPr>
        <w:pStyle w:val="FirstParagraph"/>
      </w:pPr>
      <w:r>
        <w:t xml:space="preserve">A recent publication by D’Orangeville et al () found that leaf and wood phenology traits, along with their apparent relationships, are dissimilar among trees of different wood types (ring-porous and diffuse-porous). For example, they observed that bud burst was occurring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5"/>
    <w:bookmarkStart w:id="28" w:name="here-we"/>
    <w:p>
      <w:pPr>
        <w:pStyle w:val="Heading4"/>
      </w:pPr>
      <w:r>
        <w:t xml:space="preserve">(5. Here, we…)</w:t>
      </w:r>
    </w:p>
    <w:p>
      <w:pPr>
        <w:pStyle w:val="FirstParagraph"/>
      </w:pPr>
      <w:r>
        <w:t xml:space="preserve">Here, we characterize how early spring temperatures affect stem growth phenology and rates of temperate deciduous trees within</w:t>
      </w:r>
      <w:r>
        <w:t xml:space="preserve"> </w:t>
      </w:r>
      <w:r>
        <w:rPr>
          <w:b/>
        </w:rPr>
        <w:t xml:space="preserve">two/three</w:t>
      </w:r>
      <w:r>
        <w:t xml:space="preserve"> </w:t>
      </w:r>
      <w:r>
        <w:t xml:space="preserve">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334000" cy="4301143"/>
            <wp:effectExtent b="0" l="0" r="0" t="0"/>
            <wp:docPr descr="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6"/>
                    <a:stretch>
                      <a:fillRect/>
                    </a:stretch>
                  </pic:blipFill>
                  <pic:spPr bwMode="auto">
                    <a:xfrm>
                      <a:off x="0" y="0"/>
                      <a:ext cx="5334000" cy="4301143"/>
                    </a:xfrm>
                    <a:prstGeom prst="rect">
                      <a:avLst/>
                    </a:prstGeom>
                    <a:noFill/>
                    <a:ln w="9525">
                      <a:noFill/>
                      <a:headEnd/>
                      <a:tailEnd/>
                    </a:ln>
                  </pic:spPr>
                </pic:pic>
              </a:graphicData>
            </a:graphic>
          </wp:inline>
        </w:drawing>
      </w:r>
    </w:p>
    <w:p>
      <w:pPr>
        <w:pStyle w:val="ImageCaption"/>
      </w:pPr>
      <w:r>
        <w:t xml:space="preserve">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334000" cy="2256190"/>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7"/>
                    <a:stretch>
                      <a:fillRect/>
                    </a:stretch>
                  </pic:blipFill>
                  <pic:spPr bwMode="auto">
                    <a:xfrm>
                      <a:off x="0" y="0"/>
                      <a:ext cx="5334000" cy="2256190"/>
                    </a:xfrm>
                    <a:prstGeom prst="rect">
                      <a:avLst/>
                    </a:prstGeom>
                    <a:noFill/>
                    <a:ln w="9525">
                      <a:noFill/>
                      <a:headEnd/>
                      <a:tailEnd/>
                    </a:ln>
                  </pic:spPr>
                </pic:pic>
              </a:graphicData>
            </a:graphic>
          </wp:inline>
        </w:drawing>
      </w:r>
    </w:p>
    <w:bookmarkEnd w:id="28"/>
    <w:bookmarkEnd w:id="29"/>
    <w:bookmarkStart w:id="35" w:name="materials-and-methods"/>
    <w:p>
      <w:pPr>
        <w:pStyle w:val="Heading3"/>
      </w:pPr>
      <w:r>
        <w:t xml:space="preserve">Materials and Methods</w:t>
      </w:r>
    </w:p>
    <w:bookmarkStart w:id="31" w:name="study-sites-and-data"/>
    <w:p>
      <w:pPr>
        <w:pStyle w:val="Heading4"/>
      </w:pPr>
      <w:r>
        <w:t xml:space="preserve">Study sites and data</w:t>
      </w:r>
    </w:p>
    <w:p>
      <w:pPr>
        <w:pStyle w:val="FirstParagraph"/>
      </w:pPr>
      <w:r>
        <w:t xml:space="preserve">Study sites included</w:t>
      </w:r>
      <w:r>
        <w:t xml:space="preserve"> </w:t>
      </w:r>
      <w:r>
        <w:rPr>
          <w:b/>
        </w:rPr>
        <w:t xml:space="preserve">2/3</w:t>
      </w:r>
      <w:r>
        <w:t xml:space="preserve"> </w:t>
      </w:r>
      <w:r>
        <w:t xml:space="preserve">temperate forests in the Eastern United states,</w:t>
      </w:r>
      <w:r>
        <w:t xml:space="preserve"> </w:t>
      </w:r>
      <w:r>
        <w:rPr>
          <w:b/>
        </w:rPr>
        <w:t xml:space="preserve">both/all</w:t>
      </w:r>
      <w:r>
        <w:t xml:space="preserve"> </w:t>
      </w:r>
      <w:r>
        <w:t xml:space="preserve">part of the Forest Global Earth Observatory [ForestGEO; Anderson-Teixeira et al. 2015] (</w:t>
      </w:r>
      <w:r>
        <w:rPr>
          <w:b/>
        </w:rPr>
        <w:t xml:space="preserve">Table 1?</w:t>
      </w:r>
      <w:r>
        <w:t xml:space="preserve">).</w:t>
      </w:r>
      <w:r>
        <w:t xml:space="preserve"> </w:t>
      </w:r>
      <w:r>
        <w:rPr>
          <w:b/>
        </w:rPr>
        <w:t xml:space="preserve">Both/all</w:t>
      </w:r>
      <w:r>
        <w:t xml:space="preserve"> </w:t>
      </w:r>
      <w:r>
        <w:t xml:space="preserve">sites are dominated by broadleaf deciduous trees.</w:t>
      </w:r>
      <w:r>
        <w:t xml:space="preserve"> </w:t>
      </w:r>
      <w:r>
        <w:rPr>
          <w:i/>
        </w:rPr>
        <w:t xml:space="preserve">(insert site descriptions, including lat/long, elevation, plot size, climate info, dominant species. If we include SERC and if space permits, we may put this in a table, otherwise just text)</w:t>
      </w:r>
    </w:p>
    <w:p>
      <w:pPr>
        <w:pStyle w:val="BodyText"/>
      </w:pPr>
      <w:r>
        <w:t xml:space="preserve">Our first study site was the forest dynamics plot located at the Smithsonian COnservation Biology Institute 5 KM South of Front Royal, Virginia within the Blue Ridge Mountains (38 °53036.6″ N, 78°08043.4″W; elevation 273–338 m). The forest here was established in the mid-19th century after conversion from agricultural fields. Dominate canopy species within the 25.6 HA forest plot include tulip poplar (Liriodendron tulipifera), hickories (Carya spp.), and oaks (Quercus spp.).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in the central Massachusetts town of Petersham (42°53′ N, 72°17′ W, elevation?). Harvard forest was established in 1907 as a study site for university students and researchers. (Previous use?) Dominate species within the approximately 13 HA plot are hemlock (Tsuga spp.), oak (Quercus spp.) and maple (Acer spp.). The climate is temperate continental with a mean annual precipitation of 1120 mm, January temperatures averaging -12 degrees C and July temperatures averaging 19 degrees C (D’Orangeville et al, ).</w:t>
      </w:r>
    </w:p>
    <w:p>
      <w:pPr>
        <w:pStyle w:val="BodyText"/>
      </w:pPr>
      <w:r>
        <w:t xml:space="preserve">The third study site was the forest dynamics plot located at the Smithsonian Ecological Research Center in Edgewater, Maryland near a sub estuary of the Chesapeake Bay (38°88′ N, 76°55′ W, elevation?). The forest here established roughly 120 years ago, while the plot was established in 2007. The 16 HA plot is dominated by tulip poplar (Liriodendron tulipifera), oak (Quercus spp.), beech (Fagus spp.), hickory (Carya spp.), and maple (Acer spp.). (Climate summary)</w:t>
      </w:r>
    </w:p>
    <w:p>
      <w:pPr>
        <w:pStyle w:val="BodyText"/>
      </w:pPr>
      <w:r>
        <w:t xml:space="preserve">Metal dendrometer bands installed on</w:t>
      </w:r>
      <w:r>
        <w:t xml:space="preserve"> </w:t>
      </w:r>
      <w:r>
        <w:rPr>
          <w:i/>
        </w:rPr>
        <w:t xml:space="preserve">700-755</w:t>
      </w:r>
      <w:r>
        <w:t xml:space="preserve"> </w:t>
      </w:r>
      <w:r>
        <w:t xml:space="preserve">trees at Harvard Forest and</w:t>
      </w:r>
      <w:r>
        <w:t xml:space="preserve"> </w:t>
      </w:r>
      <w:r>
        <w:rPr>
          <w:i/>
        </w:rPr>
        <w:t xml:space="preserve">99-145</w:t>
      </w:r>
      <w:r>
        <w:t xml:space="preserve"> </w:t>
      </w:r>
      <w:r>
        <w:t xml:space="preserve">trees at SCBI were measured with a digital caliper approximately every 1-2 weeks within the growing season from 1998-2003, and 2011-2020 respectively (</w:t>
      </w:r>
      <w:r>
        <w:rPr>
          <w:i/>
        </w:rPr>
        <w:t xml:space="preserve">list ranges, for each site if different</w:t>
      </w:r>
      <w:r>
        <w:t xml:space="preserve">).</w:t>
      </w:r>
      <w:r>
        <w:t xml:space="preserve"> </w:t>
      </w:r>
      <w:r>
        <w:rPr>
          <w:i/>
        </w:rPr>
        <w:t xml:space="preserve">(don’t bother to mention biannual bands, unless you end up using the data–which you could, for annual growth, if you’d like to increase the sample size. You can put exact numbers of bands per year in an SI file.</w:t>
      </w:r>
      <w:r>
        <w:t xml:space="preserve">) The number of bands measured at each site fluctuated somewhat as trees were added or dropped (e.g., because of tree mortality) from the census (Table S1) (tags_per_year_preclean in data folder). Across years, the number of bands sampled averaged</w:t>
      </w:r>
      <w:r>
        <w:t xml:space="preserve"> </w:t>
      </w:r>
      <w:r>
        <w:rPr>
          <w:i/>
        </w:rPr>
        <w:t xml:space="preserve">~135</w:t>
      </w:r>
      <w:r>
        <w:t xml:space="preserve"> </w:t>
      </w:r>
      <w:r>
        <w:t xml:space="preserve">at SCBI,</w:t>
      </w:r>
      <w:r>
        <w:t xml:space="preserve"> </w:t>
      </w:r>
      <w:r>
        <w:rPr>
          <w:i/>
        </w:rPr>
        <w:t xml:space="preserve">~717</w:t>
      </w:r>
      <w:r>
        <w:t xml:space="preserve"> </w:t>
      </w:r>
      <w:r>
        <w:t xml:space="preserve">at Harvard Forest</w:t>
      </w:r>
      <w:r>
        <w:rPr>
          <w:i/>
        </w:rPr>
        <w:t xml:space="preserve">, and # at SERC</w:t>
      </w:r>
      <w:r>
        <w:t xml:space="preserve">. At SCBI, 4 species were sampled including two diffuse-porous (Lirodendron tulipfera and Fagus grandafolia) and two ring-porous (Quercus rubra and Quercus alba) species. At Harvard Forest, 11 species were sampled including 8 diffuse-porous and 3 ring-porous (SI table)(bands_bySP csv’s in data folder).</w:t>
      </w:r>
      <w:r>
        <w:t xml:space="preserve"> </w:t>
      </w:r>
      <w:r>
        <w:rPr>
          <w:i/>
        </w:rPr>
        <w:t xml:space="preserve">(summary of how bands were distributed across species, focusing on ring/ diffuse porous distinction. details in an SI table)</w:t>
      </w:r>
    </w:p>
    <w:p>
      <w:pPr>
        <w:pStyle w:val="BodyText"/>
      </w:pPr>
      <w:r>
        <w:t xml:space="preserve">Measurements were timed to begin before beginning of spring growth and to continue through the cessation of growth in the fall.</w:t>
      </w:r>
      <w:r>
        <w:t xml:space="preserve"> </w:t>
      </w:r>
      <w:r>
        <w:rPr>
          <w:i/>
        </w:rPr>
        <w:t xml:space="preserve">(Give specifics, which may vary by site. Note that we adjusted timing at SCBI when we observed early leaf-out of understory shrubs/herbs)</w:t>
      </w:r>
      <w:r>
        <w:t xml:space="preserve"> </w:t>
      </w:r>
      <w:r>
        <w:t xml:space="preserve">At SCBI, the median start date was 4/14, which was adjusted when early leaf-out of understory shrubs and herbs was observed, and the median end date was 10/17, coinciding with late senescence in the plot. The earliest start date for intraannual measurements at SCBI was March 30, 2020 and the latest end date was November 26, 2012. Harvard Forest measurements took place at a similar time, with the median start date of 4/23 and median end date of 10/30. 1998 was an anomalous year where initial measurements were taken on 1/5, but not taken again until 4/15. The latest end date was November 11, 2002.</w:t>
      </w:r>
    </w:p>
    <w:p>
      <w:pPr>
        <w:pStyle w:val="BodyText"/>
      </w:pPr>
      <w:r>
        <w:t xml:space="preserve">The dendroband data were manually cleaned by visual inspection. Three classes of mistakes: 1. Error in measurement - weekly measurement was drastically different from previous week and following week. Mistakes were removed from the raw data before modeling. 2. Band slip or stuck - measurements freeze and remain unchanged until sudden jump followed by normal growth pattern. Band slips were sometimes followed by measurements indicating the band became stuck; in these cases, the tree was thrown out for the corresponding year. In cases where the slip was followed by normal growth, the initial slip-point was removed, and the following points were shifted down to the pre-slip level. 3. Other - cases where data was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Daily maximum temperatures (TMAX) for SCBI were obtained from a meteorological tower adjacent to the SCBI ForestGEO plot (data can be found on the ForestGEO climate portal, DOI on github). Daily maximum temperatures at Harvard Forest were obtained from the Harvard Forest weather station (Boose &amp; Gould, 2004; Boose, 2018). The R package climpact () was used to plot TMAX for visual inspection. Climpact also identifies readings that were greater than 3 standard deviations away from yearly means. These points were labeled as outliers and removed from the dataset. Gaps in the SCBI meteorological tower data were subsequently filled using TMAX readings obtained from a National Center for Environmental Information (NCEI) weather station located in Front Royal, Virginia (</w:t>
      </w:r>
      <w:hyperlink r:id="rId30">
        <w:r>
          <w:rPr>
            <w:rStyle w:val="Hyperlink"/>
          </w:rPr>
          <w:t xml:space="preserve">https://www.ncdc.noaa.gov/cdo-web/datasets/GHCND/stations/GHCND:USC00443229/detail</w:t>
        </w:r>
      </w:hyperlink>
      <w:r>
        <w:t xml:space="preserve">).</w:t>
      </w:r>
    </w:p>
    <w:bookmarkEnd w:id="31"/>
    <w:bookmarkStart w:id="32" w:name="fitting-growth-curves"/>
    <w:p>
      <w:pPr>
        <w:pStyle w:val="Heading4"/>
      </w:pPr>
      <w:r>
        <w:t xml:space="preserve">Fitting growth curves</w:t>
      </w:r>
    </w:p>
    <w:p>
      <w:pPr>
        <w:pStyle w:val="FirstParagraph"/>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w:t>
      </w:r>
    </w:p>
    <w:bookmarkEnd w:id="32"/>
    <w:bookmarkStart w:id="33" w:name="determining-optimal-climate-windows"/>
    <w:p>
      <w:pPr>
        <w:pStyle w:val="Heading4"/>
      </w:pPr>
      <w:r>
        <w:t xml:space="preserve">Determining optimal climate windows</w:t>
      </w:r>
    </w:p>
    <w:p>
      <w:pPr>
        <w:pStyle w:val="FirstParagraph"/>
      </w:pPr>
      <w:r>
        <w:t xml:space="preserve">The period where the phenology milestone(s) were most affected by changes in early spring temperature was determined using the R package Climwin. This package tests the correlation between climate variables (TMAX)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bookmarkEnd w:id="33"/>
    <w:bookmarkStart w:id="34" w:name="hypothesis-testing"/>
    <w:p>
      <w:pPr>
        <w:pStyle w:val="Heading4"/>
      </w:pPr>
      <w:r>
        <w:t xml:space="preserve">Hypothesis testing</w:t>
      </w:r>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numPr>
          <w:ilvl w:val="0"/>
          <w:numId w:val="1003"/>
        </w:numPr>
        <w:pStyle w:val="Compact"/>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numPr>
          <w:ilvl w:val="1"/>
          <w:numId w:val="1004"/>
        </w:numPr>
        <w:pStyle w:val="Compact"/>
      </w:pPr>
      <w:r>
        <w:t xml:space="preserve">Fixed effects: The interaction between wood type (diffuse vs ring porous) and climwin mean</w:t>
      </w:r>
    </w:p>
    <w:p>
      <w:pPr>
        <w:numPr>
          <w:ilvl w:val="1"/>
          <w:numId w:val="1004"/>
        </w:numPr>
        <w:pStyle w:val="Compact"/>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34"/>
    <w:bookmarkEnd w:id="35"/>
    <w:bookmarkStart w:id="39" w:name="results"/>
    <w:p>
      <w:pPr>
        <w:pStyle w:val="Heading3"/>
      </w:pPr>
      <w:r>
        <w:t xml:space="preserve">Results</w:t>
      </w:r>
    </w:p>
    <w:p>
      <w:pPr>
        <w:pStyle w:val="FirstParagraph"/>
      </w:pPr>
      <w:r>
        <w:rPr>
          <w:i/>
        </w:rPr>
        <w:t xml:space="preserve">Phenological patterns</w:t>
      </w:r>
    </w:p>
    <w:p>
      <w:pPr>
        <w:pStyle w:val="BodyText"/>
      </w:pPr>
      <w:r>
        <w:rPr>
          <w:i/>
        </w:rPr>
        <w:t xml:space="preserve">(Numbers in bold will change. If we bring in HF and/or SERC, we should create a table, rather than trying to list everything in the text.)</w:t>
      </w:r>
    </w:p>
    <w:p>
      <w:pPr>
        <w:pStyle w:val="BodyText"/>
      </w:pPr>
      <w:r>
        <w:t xml:space="preserve">Across all trees and years, 25% of annual growth was achieved on</w:t>
      </w:r>
      <w:r>
        <w:t xml:space="preserve"> </w:t>
      </w:r>
      <w:r>
        <w:rPr>
          <w:b/>
        </w:rPr>
        <w:t xml:space="preserve">May 9</w:t>
      </w:r>
      <w:r>
        <w:t xml:space="preserve"> </w:t>
      </w:r>
      <w:r>
        <w:t xml:space="preserve">(</w:t>
      </w:r>
      <m:oMath>
        <m:r>
          <m:t>D</m:t>
        </m:r>
        <m:r>
          <m:t>O</m:t>
        </m:r>
        <m:sSub>
          <m:e>
            <m:r>
              <m:t>Y</m:t>
            </m:r>
          </m:e>
          <m:sub>
            <m:r>
              <m:t>25</m:t>
            </m:r>
          </m:sub>
        </m:sSub>
      </m:oMath>
      <w:r>
        <w:t xml:space="preserve">=</w:t>
      </w:r>
      <w:r>
        <w:rPr>
          <w:b/>
        </w:rPr>
        <w:t xml:space="preserve">129</w:t>
      </w:r>
      <w:r>
        <w:t xml:space="preserve">), 50% on</w:t>
      </w:r>
      <w:r>
        <w:t xml:space="preserve"> </w:t>
      </w:r>
      <w:r>
        <w:rPr>
          <w:b/>
        </w:rPr>
        <w:t xml:space="preserve">June 6</w:t>
      </w:r>
      <w:r>
        <w:t xml:space="preserve"> </w:t>
      </w:r>
      <w:r>
        <w:t xml:space="preserve">(</w:t>
      </w:r>
      <m:oMath>
        <m:r>
          <m:t>D</m:t>
        </m:r>
        <m:r>
          <m:t>O</m:t>
        </m:r>
        <m:sSub>
          <m:e>
            <m:r>
              <m:t>Y</m:t>
            </m:r>
          </m:e>
          <m:sub>
            <m:r>
              <m:t>50</m:t>
            </m:r>
          </m:sub>
        </m:sSub>
      </m:oMath>
      <w:r>
        <w:t xml:space="preserve">=</w:t>
      </w:r>
      <w:r>
        <w:rPr>
          <w:b/>
        </w:rPr>
        <w:t xml:space="preserve">157</w:t>
      </w:r>
      <w:r>
        <w:t xml:space="preserve">), and 75% on</w:t>
      </w:r>
      <w:r>
        <w:t xml:space="preserve"> </w:t>
      </w:r>
      <w:r>
        <w:rPr>
          <w:b/>
        </w:rPr>
        <w:t xml:space="preserve">July 3</w:t>
      </w:r>
      <w:r>
        <w:t xml:space="preserve"> </w:t>
      </w:r>
      <w:r>
        <w:t xml:space="preserve">(</w:t>
      </w:r>
      <m:oMath>
        <m:r>
          <m:t>D</m:t>
        </m:r>
        <m:r>
          <m:t>O</m:t>
        </m:r>
        <m:sSub>
          <m:e>
            <m:r>
              <m:t>Y</m:t>
            </m:r>
          </m:e>
          <m:sub>
            <m:r>
              <m:t>75</m:t>
            </m:r>
          </m:sub>
        </m:sSub>
      </m:oMath>
      <w:r>
        <w:t xml:space="preserve">=</w:t>
      </w:r>
      <w:r>
        <w:rPr>
          <w:b/>
        </w:rPr>
        <w:t xml:space="preserve">184</w:t>
      </w:r>
      <w:r>
        <w:t xml:space="preserve">), for an average peak growing season length of</w:t>
      </w:r>
      <w:r>
        <w:t xml:space="preserve"> </w:t>
      </w:r>
      <w:r>
        <w:rPr>
          <w:b/>
        </w:rPr>
        <w:t xml:space="preserve">56</w:t>
      </w:r>
      <w:r>
        <w:t xml:space="preserve"> </w:t>
      </w:r>
      <w:r>
        <w:t xml:space="preserve">days. 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7</w:t>
      </w:r>
      <w:r>
        <w:t xml:space="preserve"> </w:t>
      </w:r>
      <w:r>
        <w:t xml:space="preserve">(</w:t>
      </w:r>
      <m:oMath>
        <m:r>
          <m:t>D</m:t>
        </m:r>
        <m:r>
          <m:t>O</m:t>
        </m:r>
        <m:sSub>
          <m:e>
            <m:r>
              <m:t>Y</m:t>
            </m:r>
          </m:e>
          <m:sub>
            <m:r>
              <m:t>m</m:t>
            </m:r>
            <m:r>
              <m:t>a</m:t>
            </m:r>
            <m:r>
              <m:t>x</m:t>
            </m:r>
          </m:sub>
        </m:sSub>
      </m:oMath>
      <w:r>
        <w:t xml:space="preserve">=</w:t>
      </w:r>
      <w:r>
        <w:rPr>
          <w:b/>
        </w:rPr>
        <w:t xml:space="preserve">158</w:t>
      </w:r>
      <w:r>
        <w:t xml:space="preserve">).</w:t>
      </w:r>
    </w:p>
    <w:p>
      <w:pPr>
        <w:pStyle w:val="BodyText"/>
      </w:pPr>
      <w:r>
        <w:t xml:space="preserve">Growth pheonology differed between ring- and diffuse- porous species, with ring-porous species having an earlier start to growth, with growth spread out over a longer growing season (Fig. 2).</w:t>
      </w:r>
      <w:r>
        <w:t xml:space="preserve"> </w:t>
      </w:r>
      <w:r>
        <w:t xml:space="preserve">For ring-porous trees, on average, 25% of annual growth was achieved on</w:t>
      </w:r>
      <w:r>
        <w:t xml:space="preserve"> </w:t>
      </w:r>
      <w:r>
        <w:rPr>
          <w:b/>
        </w:rPr>
        <w:t xml:space="preserve">April 23</w:t>
      </w:r>
      <w:r>
        <w:t xml:space="preserve"> </w:t>
      </w:r>
      <w:r>
        <w:t xml:space="preserve">(</w:t>
      </w:r>
      <m:oMath>
        <m:r>
          <m:t>D</m:t>
        </m:r>
        <m:r>
          <m:t>O</m:t>
        </m:r>
        <m:sSub>
          <m:e>
            <m:r>
              <m:t>Y</m:t>
            </m:r>
          </m:e>
          <m:sub>
            <m:r>
              <m:t>25</m:t>
            </m:r>
          </m:sub>
        </m:sSub>
      </m:oMath>
      <w:r>
        <w:t xml:space="preserve">=</w:t>
      </w:r>
      <w:r>
        <w:rPr>
          <w:b/>
        </w:rPr>
        <w:t xml:space="preserve">113</w:t>
      </w:r>
      <w:r>
        <w:t xml:space="preserve">), 50% on</w:t>
      </w:r>
      <w:r>
        <w:t xml:space="preserve"> </w:t>
      </w:r>
      <w:r>
        <w:rPr>
          <w:b/>
        </w:rPr>
        <w:t xml:space="preserve">May 27</w:t>
      </w:r>
      <w:r>
        <w:t xml:space="preserve"> </w:t>
      </w:r>
      <w:r>
        <w:t xml:space="preserve">(</w:t>
      </w:r>
      <m:oMath>
        <m:r>
          <m:t>D</m:t>
        </m:r>
        <m:r>
          <m:t>O</m:t>
        </m:r>
        <m:sSub>
          <m:e>
            <m:r>
              <m:t>Y</m:t>
            </m:r>
          </m:e>
          <m:sub>
            <m:r>
              <m:t>50</m:t>
            </m:r>
          </m:sub>
        </m:sSub>
      </m:oMath>
      <w:r>
        <w:t xml:space="preserve">=</w:t>
      </w:r>
      <w:r>
        <w:rPr>
          <w:b/>
        </w:rPr>
        <w:t xml:space="preserve">147</w:t>
      </w:r>
      <w:r>
        <w:t xml:space="preserve">), and 75% on</w:t>
      </w:r>
      <w:r>
        <w:t xml:space="preserve"> </w:t>
      </w:r>
      <w:r>
        <w:rPr>
          <w:b/>
        </w:rPr>
        <w:t xml:space="preserve">June 30</w:t>
      </w:r>
      <w:r>
        <w:t xml:space="preserve"> </w:t>
      </w:r>
      <w:r>
        <w:t xml:space="preserve">(</w:t>
      </w:r>
      <m:oMath>
        <m:r>
          <m:t>D</m:t>
        </m:r>
        <m:r>
          <m:t>O</m:t>
        </m:r>
        <m:sSub>
          <m:e>
            <m:r>
              <m:t>Y</m:t>
            </m:r>
          </m:e>
          <m:sub>
            <m:r>
              <m:t>75</m:t>
            </m:r>
          </m:sub>
        </m:sSub>
      </m:oMath>
      <w:r>
        <w:t xml:space="preserve">=</w:t>
      </w:r>
      <w:r>
        <w:rPr>
          <w:b/>
        </w:rPr>
        <w:t xml:space="preserve">181</w:t>
      </w:r>
      <w:r>
        <w:t xml:space="preserve">), for an average peak growing season length of</w:t>
      </w:r>
      <w:r>
        <w:t xml:space="preserve"> </w:t>
      </w:r>
      <w:r>
        <w:rPr>
          <w:b/>
        </w:rPr>
        <w:t xml:space="preserve">68</w:t>
      </w:r>
      <w:r>
        <w:t xml:space="preserve"> </w:t>
      </w:r>
      <w:r>
        <w:t xml:space="preserve">days. Maximum growth rate occurred</w:t>
      </w:r>
      <w:r>
        <w:t xml:space="preserve"> </w:t>
      </w:r>
      <w:r>
        <w:rPr>
          <w:i/>
        </w:rPr>
        <w:t xml:space="preserve">on</w:t>
      </w:r>
      <w:r>
        <w:rPr>
          <w:i/>
        </w:rPr>
        <w:t xml:space="preserve"> </w:t>
      </w:r>
      <m:oMath>
        <m:r>
          <m:t>D</m:t>
        </m:r>
        <m:r>
          <m:t>O</m:t>
        </m:r>
        <m:sSub>
          <m:e>
            <m:r>
              <m:t>Y</m:t>
            </m:r>
          </m:e>
          <m:sub>
            <m:r>
              <m:t>50</m:t>
            </m:r>
          </m:sub>
        </m:sSub>
      </m:oMath>
      <w:r>
        <w:t xml:space="preserve"> </w:t>
      </w:r>
      <w:r>
        <w:t xml:space="preserve">and averaged .048</w:t>
      </w:r>
      <w:r>
        <w:t xml:space="preserve"> </w:t>
      </w:r>
      <w:r>
        <w:rPr>
          <w:b/>
        </w:rPr>
        <w:t xml:space="preserve">mm day</w:t>
      </w:r>
      <w:r>
        <w:rPr>
          <w:vertAlign w:val="superscript"/>
          <w:b/>
        </w:rPr>
        <w:t xml:space="preserve">-1</w:t>
      </w:r>
      <w:r>
        <w:rPr>
          <w:b/>
        </w:rPr>
        <w:t xml:space="preserve"> </w:t>
      </w:r>
      <w:r>
        <w:rPr>
          <w:b/>
        </w:rPr>
        <w:t xml:space="preserve">(?)</w:t>
      </w:r>
      <w:r>
        <w:t xml:space="preserve">.</w:t>
      </w:r>
      <w:r>
        <w:t xml:space="preserve"> </w:t>
      </w:r>
      <w:r>
        <w:t xml:space="preserve">For diffuse-porous trees, on average, 25% of annual growth was achieved on</w:t>
      </w:r>
      <w:r>
        <w:t xml:space="preserve"> </w:t>
      </w:r>
      <w:r>
        <w:rPr>
          <w:b/>
        </w:rPr>
        <w:t xml:space="preserve">June 2</w:t>
      </w:r>
      <w:r>
        <w:t xml:space="preserve"> </w:t>
      </w:r>
      <w:r>
        <w:t xml:space="preserve">(</w:t>
      </w:r>
      <m:oMath>
        <m:r>
          <m:t>D</m:t>
        </m:r>
        <m:r>
          <m:t>O</m:t>
        </m:r>
        <m:sSub>
          <m:e>
            <m:r>
              <m:t>Y</m:t>
            </m:r>
          </m:e>
          <m:sub>
            <m:r>
              <m:t>25</m:t>
            </m:r>
          </m:sub>
        </m:sSub>
      </m:oMath>
      <w:r>
        <w:t xml:space="preserve">=</w:t>
      </w:r>
      <w:r>
        <w:rPr>
          <w:b/>
        </w:rPr>
        <w:t xml:space="preserve">153</w:t>
      </w:r>
      <w:r>
        <w:t xml:space="preserve">), 50% on</w:t>
      </w:r>
      <w:r>
        <w:t xml:space="preserve"> </w:t>
      </w:r>
      <w:r>
        <w:rPr>
          <w:b/>
        </w:rPr>
        <w:t xml:space="preserve">June 20</w:t>
      </w:r>
      <w:r>
        <w:t xml:space="preserve"> </w:t>
      </w:r>
      <w:r>
        <w:t xml:space="preserve">(</w:t>
      </w:r>
      <m:oMath>
        <m:r>
          <m:t>D</m:t>
        </m:r>
        <m:r>
          <m:t>O</m:t>
        </m:r>
        <m:sSub>
          <m:e>
            <m:r>
              <m:t>Y</m:t>
            </m:r>
          </m:e>
          <m:sub>
            <m:r>
              <m:t>50</m:t>
            </m:r>
          </m:sub>
        </m:sSub>
      </m:oMath>
      <w:r>
        <w:t xml:space="preserve">=</w:t>
      </w:r>
      <w:r>
        <w:rPr>
          <w:b/>
        </w:rPr>
        <w:t xml:space="preserve">171</w:t>
      </w:r>
      <w:r>
        <w:t xml:space="preserve">), and 75% on</w:t>
      </w:r>
      <w:r>
        <w:t xml:space="preserve"> </w:t>
      </w:r>
      <w:r>
        <w:rPr>
          <w:b/>
        </w:rPr>
        <w:t xml:space="preserve">July 9</w:t>
      </w:r>
      <w:r>
        <w:t xml:space="preserve"> </w:t>
      </w:r>
      <w:r>
        <w:t xml:space="preserve">(</w:t>
      </w:r>
      <m:oMath>
        <m:r>
          <m:t>D</m:t>
        </m:r>
        <m:r>
          <m:t>O</m:t>
        </m:r>
        <m:sSub>
          <m:e>
            <m:r>
              <m:t>Y</m:t>
            </m:r>
          </m:e>
          <m:sub>
            <m:r>
              <m:t>75</m:t>
            </m:r>
          </m:sub>
        </m:sSub>
      </m:oMath>
      <w:r>
        <w:t xml:space="preserve">=</w:t>
      </w:r>
      <w:r>
        <w:rPr>
          <w:b/>
        </w:rPr>
        <w:t xml:space="preserve">190</w:t>
      </w:r>
      <w:r>
        <w:t xml:space="preserve">), for an average peak growing season length of</w:t>
      </w:r>
      <w:r>
        <w:t xml:space="preserve"> </w:t>
      </w:r>
      <w:r>
        <w:rPr>
          <w:b/>
        </w:rPr>
        <w:t xml:space="preserve">37</w:t>
      </w:r>
      <w:r>
        <w:t xml:space="preserve"> </w:t>
      </w:r>
      <w:r>
        <w:t xml:space="preserve">days. 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21</w:t>
      </w:r>
      <w:r>
        <w:t xml:space="preserve"> </w:t>
      </w:r>
      <w:r>
        <w:t xml:space="preserve">(</w:t>
      </w:r>
      <m:oMath>
        <m:r>
          <m:t>D</m:t>
        </m:r>
        <m:r>
          <m:t>O</m:t>
        </m:r>
        <m:sSub>
          <m:e>
            <m:r>
              <m:t>Y</m:t>
            </m:r>
          </m:e>
          <m:sub>
            <m:r>
              <m:t>m</m:t>
            </m:r>
            <m:r>
              <m:t>a</m:t>
            </m:r>
            <m:r>
              <m:t>x</m:t>
            </m:r>
          </m:sub>
        </m:sSub>
      </m:oMath>
      <w:r>
        <w:t xml:space="preserve">=</w:t>
      </w:r>
      <w:r>
        <w:rPr>
          <w:b/>
        </w:rPr>
        <w:t xml:space="preserve">172</w:t>
      </w:r>
      <w:r>
        <w:t xml:space="preserve">) and averaged .068</w:t>
      </w:r>
      <w:r>
        <w:t xml:space="preserve"> </w:t>
      </w:r>
      <w:r>
        <w:rPr>
          <w:b/>
        </w:rPr>
        <w:t xml:space="preserve">mm day</w:t>
      </w:r>
      <w:r>
        <w:rPr>
          <w:vertAlign w:val="superscript"/>
          <w:b/>
        </w:rPr>
        <w:t xml:space="preserve">-1</w:t>
      </w:r>
      <w:r>
        <w:rPr>
          <w:b/>
        </w:rPr>
        <w:t xml:space="preserve"> </w:t>
      </w:r>
      <w:r>
        <w:rPr>
          <w:b/>
        </w:rPr>
        <w:t xml:space="preserve">(?)</w:t>
      </w:r>
      <w:r>
        <w:t xml:space="preserve">.</w:t>
      </w:r>
    </w:p>
    <w:p>
      <w:r>
        <w:br w:type="page"/>
      </w:r>
    </w:p>
    <w:p>
      <w:pPr>
        <w:pStyle w:val="CaptionedFigure"/>
      </w:pPr>
      <w:r>
        <w:drawing>
          <wp:inline>
            <wp:extent cx="5334000" cy="2667000"/>
            <wp:effectExtent b="0" l="0" r="0" t="0"/>
            <wp:docPr descr="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 Growth trajectories for ring- and diffuse-porous trees, as both relative and cumulative fractions of total annual growth. Each line represents one year’s growth for a given tree, fit with McMahon model.</w:t>
      </w:r>
    </w:p>
    <w:p>
      <w:pPr>
        <w:pStyle w:val="BodyText"/>
      </w:pPr>
      <w:r>
        <w:rPr>
          <w:i/>
        </w:rPr>
        <w:t xml:space="preserve">Optimal climate windows</w:t>
      </w:r>
    </w:p>
    <w:p>
      <w:pPr>
        <w:pStyle w:val="BodyText"/>
      </w:pPr>
      <w:r>
        <w:t xml:space="preserve">For the majority of weekly time windows from Feb. 1 to</w:t>
      </w:r>
      <w:r>
        <w:t xml:space="preserve"> </w:t>
      </w:r>
      <m:oMath>
        <m:r>
          <m:t>D</m:t>
        </m:r>
        <m:r>
          <m:t>O</m:t>
        </m:r>
        <m:sSub>
          <m:e>
            <m:r>
              <m:t>Y</m:t>
            </m:r>
          </m:e>
          <m:sub>
            <m:r>
              <m:t>25</m:t>
            </m:r>
          </m:sub>
        </m:sSub>
      </m:oMath>
      <w:r>
        <w:t xml:space="preserve">, there was negative relationship between temperature and</w:t>
      </w:r>
      <w:r>
        <w:t xml:space="preserve"> </w:t>
      </w:r>
      <m:oMath>
        <m:r>
          <m:t>D</m:t>
        </m:r>
        <m:r>
          <m:t>O</m:t>
        </m:r>
        <m:sSub>
          <m:e>
            <m:r>
              <m:t>Y</m:t>
            </m:r>
          </m:e>
          <m:sub>
            <m:r>
              <m:t>25</m:t>
            </m:r>
          </m:sub>
        </m:sSub>
      </m:oMath>
      <w:r>
        <w:t xml:space="preserve">, meaning that warmer temperatures shifted growth earlier in the season (Figs. 3, S3, S4).</w:t>
      </w:r>
      <w:r>
        <w:t xml:space="preserve"> </w:t>
      </w:r>
      <w:r>
        <w:t xml:space="preserve">This held true for both ring- and diffuse-porous trees,</w:t>
      </w:r>
      <w:r>
        <w:t xml:space="preserve"> </w:t>
      </w:r>
      <w:r>
        <w:rPr>
          <w:i/>
        </w:rPr>
        <w:t xml:space="preserve">albeit</w:t>
      </w:r>
      <w:r>
        <w:t xml:space="preserve"> </w:t>
      </w:r>
      <w:r>
        <w:t xml:space="preserve">with stronger relationships for ring-porous trees.</w:t>
      </w:r>
      <w:r>
        <w:t xml:space="preserve"> </w:t>
      </w:r>
      <w:r>
        <w:rPr>
          <w:i/>
        </w:rPr>
        <w:t xml:space="preserve">(Describe the landscape:)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6</w:t>
      </w:r>
      <w:r>
        <w:t xml:space="preserve"> </w:t>
      </w:r>
      <w:r>
        <w:t xml:space="preserve">weeks prior, and covering at least a</w:t>
      </w:r>
      <w:r>
        <w:t xml:space="preserve"> </w:t>
      </w:r>
      <w:r>
        <w:rPr>
          <w:b/>
        </w:rPr>
        <w:t xml:space="preserve">3</w:t>
      </w:r>
      <w:r>
        <w:t xml:space="preserve">-week period.</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p>
    <w:p>
      <w:pPr>
        <w:pStyle w:val="BodyText"/>
      </w:pPr>
      <w:r>
        <w:t xml:space="preserve">Optimal windows occurred from</w:t>
      </w:r>
      <w:r>
        <w:t xml:space="preserve"> </w:t>
      </w:r>
      <w:r>
        <w:rPr>
          <w:b/>
        </w:rPr>
        <w:t xml:space="preserve">##-##</w:t>
      </w:r>
      <w:r>
        <w:t xml:space="preserve"> </w:t>
      </w:r>
      <w:r>
        <w:t xml:space="preserve">for ring-porous species and from</w:t>
      </w:r>
      <w:r>
        <w:t xml:space="preserve"> </w:t>
      </w:r>
      <w:r>
        <w:rPr>
          <w:b/>
        </w:rPr>
        <w:t xml:space="preserve">##-##</w:t>
      </w:r>
      <w:r>
        <w:t xml:space="preserve"> </w:t>
      </w:r>
      <w:r>
        <w:t xml:space="preserve">for diffuse-porous species.</w:t>
      </w:r>
    </w:p>
    <w:p>
      <w:pPr>
        <w:pStyle w:val="CaptionedFigure"/>
      </w:pPr>
      <w:r>
        <w:drawing>
          <wp:inline>
            <wp:extent cx="5334000" cy="5754143"/>
            <wp:effectExtent b="0" l="0" r="0" t="0"/>
            <wp:docPr descr="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 title="" id="1" name="Picture"/>
            <a:graphic>
              <a:graphicData uri="http://schemas.openxmlformats.org/drawingml/2006/picture">
                <pic:pic>
                  <pic:nvPicPr>
                    <pic:cNvPr descr="tables_figures/climwin.png" id="0" name="Picture"/>
                    <pic:cNvPicPr>
                      <a:picLocks noChangeArrowheads="1" noChangeAspect="1"/>
                    </pic:cNvPicPr>
                  </pic:nvPicPr>
                  <pic:blipFill>
                    <a:blip r:embed="rId37"/>
                    <a:stretch>
                      <a:fillRect/>
                    </a:stretch>
                  </pic:blipFill>
                  <pic:spPr bwMode="auto">
                    <a:xfrm>
                      <a:off x="0" y="0"/>
                      <a:ext cx="5334000" cy="5754143"/>
                    </a:xfrm>
                    <a:prstGeom prst="rect">
                      <a:avLst/>
                    </a:prstGeom>
                    <a:noFill/>
                    <a:ln w="9525">
                      <a:noFill/>
                      <a:headEnd/>
                      <a:tailEnd/>
                    </a:ln>
                  </pic:spPr>
                </pic:pic>
              </a:graphicData>
            </a:graphic>
          </wp:inline>
        </w:drawing>
      </w:r>
    </w:p>
    <w:p>
      <w:pPr>
        <w:pStyle w:val="ImageCaption"/>
      </w:pPr>
      <w:r>
        <w:t xml:space="preserve">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w:t>
      </w:r>
    </w:p>
    <w:p>
      <w:pPr>
        <w:pStyle w:val="BodyText"/>
      </w:pPr>
      <w:r>
        <w:rPr>
          <w:i/>
        </w:rPr>
        <w:t xml:space="preserve">Climate sensitivity of phenology</w:t>
      </w:r>
    </w:p>
    <w:p>
      <w:pPr>
        <w:pStyle w:val="BodyText"/>
      </w:pPr>
      <w:r>
        <w:t xml:space="preserve">Warmer spring temperatures resulted in an earlier start of growth for ring-porous species and an earlier growing season for diffuse-porous species (Fig. 4).</w:t>
      </w:r>
    </w:p>
    <w:p>
      <w:pPr>
        <w:pStyle w:val="CaptionedFigure"/>
      </w:pPr>
      <w:r>
        <w:drawing>
          <wp:inline>
            <wp:extent cx="5334000" cy="8890000"/>
            <wp:effectExtent b="0" l="0" r="0" t="0"/>
            <wp:docPr descr="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38"/>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bookmarkEnd w:id="39"/>
    <w:bookmarkStart w:id="41" w:name="discussion"/>
    <w:p>
      <w:pPr>
        <w:pStyle w:val="Heading3"/>
      </w:pPr>
      <w:r>
        <w:t xml:space="preserve">Discussion</w:t>
      </w:r>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likeliehood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CaptionedFigure"/>
      </w:pPr>
      <w:r>
        <w:drawing>
          <wp:inline>
            <wp:extent cx="5334000" cy="5334000"/>
            <wp:effectExtent b="0" l="0" r="0" t="0"/>
            <wp:docPr descr="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png" id="0" name="Picture"/>
                    <pic:cNvPicPr>
                      <a:picLocks noChangeArrowheads="1" noChangeAspect="1"/>
                    </pic:cNvPicPr>
                  </pic:nvPicPr>
                  <pic:blipFill>
                    <a:blip r:embed="rId4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Day of year where growth milestones were achied at (a) the Smithonian Conservation Biology Institute and (b) Harvard Forest.</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 TMAX 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 TMAX 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41"/>
    <w:bookmarkStart w:id="42" w:name="content-to-incorporate"/>
    <w:p>
      <w:pPr>
        <w:pStyle w:val="Heading3"/>
      </w:pPr>
      <w:r>
        <w:t xml:space="preserve">(Content to incorporate)</w:t>
      </w:r>
    </w:p>
    <w:p>
      <w:pPr>
        <w:pStyle w:val="FirstParagraph"/>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42"/>
    <w:bookmarkStart w:id="43" w:name="acknowledgements"/>
    <w:p>
      <w:pPr>
        <w:pStyle w:val="Heading3"/>
      </w:pPr>
      <w:r>
        <w:t xml:space="preserve">Acknowledgements</w:t>
      </w:r>
    </w:p>
    <w:p>
      <w:pPr>
        <w:pStyle w:val="FirstParagraph"/>
      </w:pPr>
      <w:r>
        <w:t xml:space="preserve">ForestGEO</w:t>
      </w:r>
    </w:p>
    <w:bookmarkEnd w:id="43"/>
    <w:bookmarkStart w:id="44" w:name="author-contributions"/>
    <w:p>
      <w:pPr>
        <w:pStyle w:val="Heading3"/>
      </w:pPr>
      <w:r>
        <w:t xml:space="preserve">Author Contributions</w:t>
      </w:r>
    </w:p>
    <w:bookmarkEnd w:id="44"/>
    <w:bookmarkStart w:id="45" w:name="supporting-information"/>
    <w:p>
      <w:pPr>
        <w:pStyle w:val="Heading3"/>
      </w:pP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45"/>
    <w:bookmarkStart w:id="55" w:name="references"/>
    <w:p>
      <w:pPr>
        <w:pStyle w:val="Heading3"/>
      </w:pPr>
      <w:r>
        <w:t xml:space="preserve">References</w:t>
      </w:r>
    </w:p>
    <w:bookmarkStart w:id="54" w:name="refs"/>
    <w:bookmarkStart w:id="47"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46">
        <w:r>
          <w:rPr>
            <w:rStyle w:val="Hyperlink"/>
          </w:rPr>
          <w:t xml:space="preserve">https://doi.org/10.1111/j.1365-2486.2005.001012.x</w:t>
        </w:r>
      </w:hyperlink>
    </w:p>
    <w:bookmarkEnd w:id="47"/>
    <w:bookmarkStart w:id="49"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48">
        <w:r>
          <w:rPr>
            <w:rStyle w:val="Hyperlink"/>
          </w:rPr>
          <w:t xml:space="preserve">https://doi.org/10.1111/gcb.14731</w:t>
        </w:r>
      </w:hyperlink>
    </w:p>
    <w:bookmarkEnd w:id="49"/>
    <w:bookmarkStart w:id="51"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50">
        <w:r>
          <w:rPr>
            <w:rStyle w:val="Hyperlink"/>
          </w:rPr>
          <w:t xml:space="preserve">https://doi.org/10.1038/nclimate2253</w:t>
        </w:r>
      </w:hyperlink>
    </w:p>
    <w:bookmarkEnd w:id="51"/>
    <w:bookmarkStart w:id="53"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52">
        <w:r>
          <w:rPr>
            <w:rStyle w:val="Hyperlink"/>
          </w:rPr>
          <w:t xml:space="preserve">https://doi.org/10.1002/ece3.1117</w:t>
        </w:r>
      </w:hyperlink>
    </w:p>
    <w:bookmarkEnd w:id="53"/>
    <w:bookmarkEnd w:id="54"/>
    <w:bookmarkEnd w:id="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4">
    <w:nsid w:val="71315dc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Letter"/>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image" Id="rId26" Target="media/rId26.png" /><Relationship Type="http://schemas.openxmlformats.org/officeDocument/2006/relationships/hyperlink" Id="rId52" Target="https://doi.org/10.1002/ece3.1117" TargetMode="External" /><Relationship Type="http://schemas.openxmlformats.org/officeDocument/2006/relationships/hyperlink" Id="rId50" Target="https://doi.org/10.1038/nclimate2253" TargetMode="External" /><Relationship Type="http://schemas.openxmlformats.org/officeDocument/2006/relationships/hyperlink" Id="rId48" Target="https://doi.org/10.1111/gcb.14731" TargetMode="External" /><Relationship Type="http://schemas.openxmlformats.org/officeDocument/2006/relationships/hyperlink" Id="rId46" Target="https://doi.org/10.1111/j.1365-2486.2005.001012.x" TargetMode="External" /><Relationship Type="http://schemas.openxmlformats.org/officeDocument/2006/relationships/hyperlink" Id="rId30"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2" Target="https://doi.org/10.1002/ece3.1117" TargetMode="External" /><Relationship Type="http://schemas.openxmlformats.org/officeDocument/2006/relationships/hyperlink" Id="rId50" Target="https://doi.org/10.1038/nclimate2253" TargetMode="External" /><Relationship Type="http://schemas.openxmlformats.org/officeDocument/2006/relationships/hyperlink" Id="rId48" Target="https://doi.org/10.1111/gcb.14731" TargetMode="External" /><Relationship Type="http://schemas.openxmlformats.org/officeDocument/2006/relationships/hyperlink" Id="rId46" Target="https://doi.org/10.1111/j.1365-2486.2005.001012.x" TargetMode="External" /><Relationship Type="http://schemas.openxmlformats.org/officeDocument/2006/relationships/hyperlink" Id="rId30"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2020-11-10T17:09:07Z</dcterms:created>
  <dcterms:modified xsi:type="dcterms:W3CDTF">2020-11-10T17:09:07Z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